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FA" w:rsidRDefault="007E42FA" w:rsidP="007E42FA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государственное бюджетное общеобразовательное учреждение Самарской области средняя общ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образовательная школа имени Героя Советского Союза В. П. Селищева с. Колывань  </w:t>
      </w:r>
    </w:p>
    <w:p w:rsidR="007E42FA" w:rsidRDefault="007E42FA" w:rsidP="007E42FA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Красноармейский</w:t>
      </w:r>
      <w:proofErr w:type="gramEnd"/>
      <w:r>
        <w:rPr>
          <w:rFonts w:ascii="Times New Roman" w:eastAsia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</w:rPr>
        <w:t>Самарской области</w:t>
      </w:r>
    </w:p>
    <w:p w:rsidR="007E42FA" w:rsidRDefault="007E42FA" w:rsidP="007E42F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558" w:type="dxa"/>
        <w:jc w:val="center"/>
        <w:tblLook w:val="04A0" w:firstRow="1" w:lastRow="0" w:firstColumn="1" w:lastColumn="0" w:noHBand="0" w:noVBand="1"/>
      </w:tblPr>
      <w:tblGrid>
        <w:gridCol w:w="5092"/>
        <w:gridCol w:w="4466"/>
      </w:tblGrid>
      <w:tr w:rsidR="007E42FA" w:rsidTr="007E42FA">
        <w:trPr>
          <w:trHeight w:val="1169"/>
          <w:jc w:val="center"/>
        </w:trPr>
        <w:tc>
          <w:tcPr>
            <w:tcW w:w="0" w:type="auto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2FA" w:rsidRPr="007E42FA" w:rsidRDefault="007E42FA" w:rsidP="007E4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7E42FA" w:rsidRPr="007E42FA" w:rsidRDefault="007E42FA" w:rsidP="007E4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Педагогическим советом</w:t>
            </w:r>
          </w:p>
          <w:p w:rsidR="007E42FA" w:rsidRPr="007E42FA" w:rsidRDefault="007E42FA" w:rsidP="007E42FA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протокол от </w:t>
            </w:r>
            <w:r w:rsidRPr="007E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18.04.</w:t>
            </w:r>
            <w:r w:rsidRPr="007E4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E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22</w:t>
            </w:r>
            <w:r w:rsidRPr="007E4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7E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</w:p>
        </w:tc>
        <w:tc>
          <w:tcPr>
            <w:tcW w:w="4466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7E42FA" w:rsidRPr="007E42FA" w:rsidRDefault="007E42FA" w:rsidP="007E42F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2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7E42FA" w:rsidRPr="007E42FA" w:rsidRDefault="007E42FA" w:rsidP="007E42F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7E42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Директор ГБОУ СОШ с. Колывань </w:t>
            </w:r>
          </w:p>
          <w:p w:rsidR="007E42FA" w:rsidRDefault="007E42FA" w:rsidP="007E42F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Л.А.Козлова</w:t>
            </w:r>
            <w:proofErr w:type="spellEnd"/>
          </w:p>
          <w:p w:rsidR="007E42FA" w:rsidRDefault="007E42FA" w:rsidP="007E42FA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bookmarkEnd w:id="0"/>
    </w:tbl>
    <w:p w:rsidR="00776F8B" w:rsidRPr="001D729A" w:rsidRDefault="00776F8B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1D729A" w:rsidRDefault="00776F8B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1D729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006340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Дергачевского</w:t>
      </w:r>
      <w:proofErr w:type="spellEnd"/>
      <w:r w:rsidR="00006340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филиала ГБОУ СОШ с. Колывань (детский сад «Родничок»)</w:t>
      </w:r>
    </w:p>
    <w:p w:rsidR="00776F8B" w:rsidRPr="001D729A" w:rsidRDefault="00776F8B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67"/>
        <w:gridCol w:w="6889"/>
      </w:tblGrid>
      <w:tr w:rsidR="00776F8B" w:rsidRPr="007E42F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55E2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Дергачевский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филиал ГБОУ СОШ с. Колывань (детский сад «Родничок»)</w:t>
            </w:r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55E2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Методист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55E2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Мурзаева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Елена Николаевна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55E2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446143 Самарская обл</w:t>
            </w:r>
            <w:r w:rsidR="00C737F7"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Краноармейский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р-он,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ергачи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ул. М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лодежная д.9.</w:t>
            </w:r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55E2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8-846-75-31-1-15</w:t>
            </w:r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55E2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776F8B" w:rsidRPr="001D729A" w:rsidTr="008842F4">
        <w:tc>
          <w:tcPr>
            <w:tcW w:w="1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3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655E22"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E0A49"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 декабря 2015г.№6347</w:t>
            </w:r>
          </w:p>
        </w:tc>
      </w:tr>
    </w:tbl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етского сада построено по типовому проекту.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Проектная наполняемость на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мест. 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щая площадь здания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488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кв.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y</w:t>
      </w:r>
      <w:proofErr w:type="gramEnd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епосредственно для нужд образовательного процесса</w:t>
      </w:r>
      <w:r w:rsidR="00C71B68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, 369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кв.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1D72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честв,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Pr="001D729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C71B68" w:rsidRPr="001D729A" w:rsidRDefault="00C71B68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в группах – 12 часов. Режим работы групп – с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:00 до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:00.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от 29.12.2012 № 273-ФЗ</w:t>
      </w: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разования, СП 2.4.3648-20 «Санитарно-эпидемиологические требования к организациям воспит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и обучения, отдыха и оздоровления детей и молодежи».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тарно-эпидемиологическими правилами и нормативами.</w:t>
      </w:r>
    </w:p>
    <w:p w:rsidR="000D383C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посещае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93641E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</w:t>
      </w:r>
      <w:r w:rsidR="006E0A4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="0093641E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возрасте от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1.6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7 лет.</w:t>
      </w:r>
    </w:p>
    <w:p w:rsidR="00B1104D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В Детском саду сформировано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них:</w:t>
      </w:r>
    </w:p>
    <w:p w:rsidR="00776F8B" w:rsidRPr="001D729A" w:rsidRDefault="00B1104D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Разновозрастная</w:t>
      </w:r>
      <w:proofErr w:type="gramEnd"/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№1 </w:t>
      </w:r>
      <w:r w:rsidR="0093641E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общеразвивающей</w:t>
      </w:r>
      <w:r w:rsidR="000D383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8842F4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15</w:t>
      </w:r>
      <w:r w:rsidR="008842F4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</w:t>
      </w:r>
      <w:r w:rsidR="008842F4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1104D" w:rsidRPr="001D729A" w:rsidRDefault="00B1104D" w:rsidP="001D729A">
      <w:pPr>
        <w:spacing w:before="0" w:beforeAutospacing="0" w:after="0" w:afterAutospacing="0"/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Разновозрастная</w:t>
      </w:r>
      <w:proofErr w:type="gramEnd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№2 общеразвивающей  направленности – </w:t>
      </w:r>
      <w:r w:rsidR="0093641E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17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детей;</w:t>
      </w:r>
    </w:p>
    <w:p w:rsidR="00B1104D" w:rsidRPr="001D729A" w:rsidRDefault="00B1104D" w:rsidP="001D729A">
      <w:p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качественной организации родителями привычного режима для детей специалистами детск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сада систематически проводились консультации, оказывалась методическая помощь и по во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 и понимании родителями ответственности за качество образования своих детей.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93641E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6"/>
        <w:gridCol w:w="1958"/>
        <w:gridCol w:w="5333"/>
      </w:tblGrid>
      <w:tr w:rsidR="00776F8B" w:rsidRPr="007E42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776F8B" w:rsidRPr="001D7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93641E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93641E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1D7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1104D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емья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93641E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93641E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776F8B" w:rsidRPr="007E42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776F8B" w:rsidRPr="001D729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93641E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1D729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B1104D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76F8B" w:rsidRPr="001D729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93641E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сад.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 Детском саду 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работал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танцевальный кружок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художественно-эстетическому направлению </w:t>
      </w:r>
      <w:r w:rsidR="007C35D6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6E0A4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потушки</w:t>
      </w:r>
      <w:proofErr w:type="spellEnd"/>
      <w:r w:rsidR="00EA5492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1104D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дополнительном образовании задействовано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53</w:t>
      </w:r>
      <w:r w:rsidR="00EA5492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%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492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воспитанников Детского сада.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Детским садом строится на принципах единоначалия и коллегиальности. Коллегиал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ными органами управления являются: управляющий совет, педагогический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руководитель – 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методист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5"/>
        <w:gridCol w:w="6422"/>
      </w:tblGrid>
      <w:tr w:rsidR="00776F8B" w:rsidRPr="001D729A" w:rsidTr="00EA5492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76F8B" w:rsidRPr="007E42FA" w:rsidTr="00EA5492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EA5492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  <w:proofErr w:type="spellEnd"/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</w:t>
            </w:r>
            <w:r w:rsidR="00EA5492"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филиала.</w:t>
            </w:r>
          </w:p>
        </w:tc>
      </w:tr>
      <w:tr w:rsidR="00776F8B" w:rsidRPr="001D729A" w:rsidTr="00EA5492"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выбора  учебных пособий, средств обучения и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776F8B" w:rsidRPr="001D729A" w:rsidRDefault="008842F4" w:rsidP="001D729A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</w:tbl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EA5492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 В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 систему управления Детским садом внедрили элементы электронного документооборота. Это упростило работу организации во время дистанционного функционирования. По итогам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система управления Детского сада оценивается как эффективная, позволяющая учесть мн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работников и всех участников образовательных отношений. В следующем году изменение с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стемы управления не планируется.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776F8B" w:rsidRPr="001D729A" w:rsidRDefault="008842F4" w:rsidP="001D729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776F8B" w:rsidRPr="001D729A" w:rsidRDefault="008842F4" w:rsidP="001D729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</w:rPr>
        <w:t>диагностические срезы;</w:t>
      </w:r>
    </w:p>
    <w:p w:rsidR="00776F8B" w:rsidRPr="001D729A" w:rsidRDefault="008842F4" w:rsidP="001D729A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наблюдения</w:t>
      </w:r>
      <w:proofErr w:type="gramEnd"/>
      <w:r w:rsidRPr="001D729A">
        <w:rPr>
          <w:rFonts w:ascii="Times New Roman" w:hAnsi="Times New Roman" w:cs="Times New Roman"/>
          <w:color w:val="000000"/>
          <w:sz w:val="24"/>
          <w:szCs w:val="24"/>
        </w:rPr>
        <w:t>, итоговые занятия.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6"/>
        <w:gridCol w:w="729"/>
        <w:gridCol w:w="733"/>
        <w:gridCol w:w="766"/>
        <w:gridCol w:w="632"/>
        <w:gridCol w:w="778"/>
        <w:gridCol w:w="656"/>
        <w:gridCol w:w="963"/>
        <w:gridCol w:w="1694"/>
      </w:tblGrid>
      <w:tr w:rsidR="00776F8B" w:rsidRPr="001D729A"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776F8B" w:rsidRPr="001D729A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воспитанников в пределе</w:t>
            </w:r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776F8B" w:rsidRPr="001D729A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6F8B" w:rsidRPr="001D729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BB0D93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4A2CAA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</w:tbl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нями развития при прогрессирующей динамике на конец учебного года, что говорит о результ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тивности образовательной деятельности в Детском саду.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ников, администрации и родителей. Основными участниками образовательного процесса являются дети, родители, педагоги.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776F8B" w:rsidRPr="001D729A" w:rsidRDefault="008842F4" w:rsidP="001D729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ванной образовательной деятельности по освоению основной общеобразовательной пр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граммы;</w:t>
      </w:r>
    </w:p>
    <w:p w:rsidR="00776F8B" w:rsidRPr="001D729A" w:rsidRDefault="008842F4" w:rsidP="001D729A">
      <w:pPr>
        <w:numPr>
          <w:ilvl w:val="0"/>
          <w:numId w:val="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ника.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Продолжительность занятий соответствует СанПиН 1.2.3685-21 и составляет:</w:t>
      </w:r>
    </w:p>
    <w:p w:rsidR="00776F8B" w:rsidRPr="001D729A" w:rsidRDefault="008842F4" w:rsidP="001D729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детьми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1,5 до 3 лет –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мин;</w:t>
      </w:r>
    </w:p>
    <w:p w:rsidR="00776F8B" w:rsidRPr="001D729A" w:rsidRDefault="008842F4" w:rsidP="001D729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детьми от 3 до 4 лет – до 15 мин;</w:t>
      </w:r>
    </w:p>
    <w:p w:rsidR="00776F8B" w:rsidRPr="001D729A" w:rsidRDefault="008842F4" w:rsidP="001D729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детьми от 4 до 5 лет – до 20 мин;</w:t>
      </w:r>
    </w:p>
    <w:p w:rsidR="00776F8B" w:rsidRPr="001D729A" w:rsidRDefault="008842F4" w:rsidP="001D729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proofErr w:type="spellStart"/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подгруппае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детьми от 5 до 6 лет – до 25 мин;</w:t>
      </w:r>
    </w:p>
    <w:p w:rsidR="00776F8B" w:rsidRPr="001D729A" w:rsidRDefault="008842F4" w:rsidP="001D729A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подгруппе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детьми от 6 до 7 лет – до 30 мин.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предусмотрены перерывы продолж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тельностью не менее 10 минут.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ё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не допустить распространения коронавирусной инфекции, администрация Детского сада ввела в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 концентрациях по вирусному режиму;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дельно от других групп;</w:t>
      </w:r>
    </w:p>
    <w:p w:rsidR="00776F8B" w:rsidRPr="001D729A" w:rsidRDefault="008842F4" w:rsidP="001D729A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требование о заключении врача об отсутствии медицинских противопоказаний для пр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бывания в детском саду ребенка, который переболел или контактировал с больным 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-19.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B0D93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прошли аттестацию и 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</w:p>
    <w:p w:rsidR="00DA0C6F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Курсы повышения 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квалификации</w:t>
      </w:r>
      <w:r w:rsidR="004A2CAA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итогам 2020 года Детский сад перешел на применение профессиональных стандартов. Из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дагогических работников Детского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</w:t>
      </w: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«Педагог».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принимали 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участие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окружных и районных конкурсах.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занные с отсутствием необходимых компетенций для подготовки к дистанционным занятиям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роме того, существенно осложняла ситуацию низкая мотивация родителей к занятиям с детьми-дошкольниками.</w:t>
      </w:r>
      <w:proofErr w:type="gramEnd"/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каждой возрастной группе имеется банк необходимых учебно-методических пособий, рекоме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дованных для планирования воспитательно-образовательной работы в соответствии с обязател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частью ООП.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В Детском саду оборудованы помещения:</w:t>
      </w:r>
    </w:p>
    <w:p w:rsidR="00776F8B" w:rsidRPr="001D729A" w:rsidRDefault="008842F4" w:rsidP="001D729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6F8B" w:rsidRPr="001D729A" w:rsidRDefault="008842F4" w:rsidP="001D729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0C6F" w:rsidRPr="001D729A">
        <w:rPr>
          <w:rFonts w:ascii="Times New Roman" w:hAnsi="Times New Roman" w:cs="Times New Roman"/>
          <w:color w:val="000000"/>
          <w:sz w:val="24"/>
          <w:szCs w:val="24"/>
        </w:rPr>
        <w:t>методиста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776F8B" w:rsidRPr="001D729A" w:rsidRDefault="008842F4" w:rsidP="001D729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</w:rPr>
        <w:t>1;</w:t>
      </w:r>
    </w:p>
    <w:p w:rsidR="00776F8B" w:rsidRPr="001D729A" w:rsidRDefault="008842F4" w:rsidP="001D729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</w:rPr>
        <w:t>пищеблок – 1;</w:t>
      </w:r>
    </w:p>
    <w:p w:rsidR="00776F8B" w:rsidRPr="001D729A" w:rsidRDefault="008842F4" w:rsidP="001D729A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729A">
        <w:rPr>
          <w:rFonts w:ascii="Times New Roman" w:hAnsi="Times New Roman" w:cs="Times New Roman"/>
          <w:color w:val="000000"/>
          <w:sz w:val="24"/>
          <w:szCs w:val="24"/>
        </w:rPr>
        <w:t>прачечная</w:t>
      </w:r>
      <w:proofErr w:type="spellEnd"/>
      <w:r w:rsidRPr="001D729A">
        <w:rPr>
          <w:rFonts w:ascii="Times New Roman" w:hAnsi="Times New Roman" w:cs="Times New Roman"/>
          <w:color w:val="000000"/>
          <w:sz w:val="24"/>
          <w:szCs w:val="24"/>
        </w:rPr>
        <w:t xml:space="preserve"> – 1;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 особенности детей своей группы. Оборудованы групповые комнаты, включающие игровую, познавательную, обеденную зоны.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Детский сад провел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капитальный всего здания. 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Построили новые малые архитекту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формы и игровое оборудование на участке. Провели переоформление </w:t>
      </w:r>
      <w:r w:rsidR="00DA0C6F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родительских уголков.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в 2021 году запланировать приобретение соответствующего оборудования и пр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граммного обеспечения, определить источники финансирования закупки.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гического коллектива по всем показателям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204F0C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84 процента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 успешно освоили образовательную программу дошкольного образования в своей возрастной группе. Воспитанники успешно участвовали в конкурсах и мероприятиях различного уровня.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период с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12.10.2021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685579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19.10.2021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 89 родителей, получены следу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 результаты:</w:t>
      </w:r>
    </w:p>
    <w:p w:rsidR="00776F8B" w:rsidRPr="001D729A" w:rsidRDefault="008842F4" w:rsidP="001D729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776F8B" w:rsidRPr="001D729A" w:rsidRDefault="008842F4" w:rsidP="001D729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– 72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776F8B" w:rsidRPr="001D729A" w:rsidRDefault="008842F4" w:rsidP="001D729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низации, – 65 процентов;</w:t>
      </w:r>
    </w:p>
    <w:p w:rsidR="00776F8B" w:rsidRPr="001D729A" w:rsidRDefault="008842F4" w:rsidP="001D729A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776F8B" w:rsidRPr="001D729A" w:rsidRDefault="008842F4" w:rsidP="001D729A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Анкетирование родителей показало </w:t>
      </w:r>
      <w:r w:rsidR="00B00170"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достаточную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степень удовлетворенности качеством пред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ставляемых услуг.</w:t>
      </w:r>
    </w:p>
    <w:p w:rsidR="00776F8B" w:rsidRPr="001D729A" w:rsidRDefault="008842F4" w:rsidP="001D729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приведены по состоянию на 30.12.2020.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60"/>
        <w:gridCol w:w="1680"/>
        <w:gridCol w:w="1616"/>
      </w:tblGrid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776F8B" w:rsidRPr="001D729A" w:rsidTr="008842F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85579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="00204F0C"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 часов)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85579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85579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воспитанников, которые получают услуги присмотра и ухода, в 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в группах: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8–12-часового пребывания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85579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685579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(6</w:t>
            </w:r>
            <w:proofErr w:type="gram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proofErr w:type="gramEnd"/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ков, которым по результатам аттестации присвоена квалификац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онная категория, в общей численности педагогических работн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ков, в том числе: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высшей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 в общей численности педагогических работников, педагогич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стаж работы которых составляет: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(25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 в общей численности педагогических работников в возрасте: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ку, от общей численности таких работников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(50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по применению в образовательном процессе ФГОС,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о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щей численности таких работников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1D72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(75</w:t>
            </w:r>
            <w:r w:rsidR="008842F4"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776F8B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76F8B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8842F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776F8B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6F8B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логопеда</w:t>
            </w:r>
            <w:proofErr w:type="spellEnd"/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8842F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1D72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3F7414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8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81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04F0C" w:rsidRPr="001D729A" w:rsidTr="00204F0C">
        <w:tc>
          <w:tcPr>
            <w:tcW w:w="340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204F0C" w:rsidRPr="001D729A" w:rsidTr="00204F0C">
        <w:tc>
          <w:tcPr>
            <w:tcW w:w="3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81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4F0C" w:rsidRPr="001D729A" w:rsidRDefault="00204F0C" w:rsidP="001D729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зациям воспитания и обучения, отдыха и оздоровления детей и молодежи»</w:t>
      </w:r>
      <w:r w:rsidRPr="001D729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позволяет реализ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вывать образовательные программы в полном объеме в соответствии с ФГОС </w:t>
      </w:r>
      <w:proofErr w:type="gramStart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76F8B" w:rsidRPr="001D729A" w:rsidRDefault="008842F4" w:rsidP="001D729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работников, которые им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ют квалификацию и регулярно проходят повышение квалификации, что обеспечивает результ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D729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тивность образовательной деятельности.</w:t>
      </w:r>
    </w:p>
    <w:sectPr w:rsidR="00776F8B" w:rsidRPr="001D729A" w:rsidSect="001D729A">
      <w:pgSz w:w="11907" w:h="16839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E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E76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07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03C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72C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90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1B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73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546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24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C1E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05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87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614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E3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52A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6340"/>
    <w:rsid w:val="000D383C"/>
    <w:rsid w:val="001D729A"/>
    <w:rsid w:val="00204F0C"/>
    <w:rsid w:val="002455DC"/>
    <w:rsid w:val="002D33B1"/>
    <w:rsid w:val="002D3591"/>
    <w:rsid w:val="003514A0"/>
    <w:rsid w:val="003F7414"/>
    <w:rsid w:val="004A2CAA"/>
    <w:rsid w:val="004F7E17"/>
    <w:rsid w:val="005A05CE"/>
    <w:rsid w:val="00653AF6"/>
    <w:rsid w:val="00655E22"/>
    <w:rsid w:val="00685579"/>
    <w:rsid w:val="006E0A49"/>
    <w:rsid w:val="00776F8B"/>
    <w:rsid w:val="007C35D6"/>
    <w:rsid w:val="007E42FA"/>
    <w:rsid w:val="008842F4"/>
    <w:rsid w:val="0093641E"/>
    <w:rsid w:val="00B00170"/>
    <w:rsid w:val="00B1104D"/>
    <w:rsid w:val="00B73A5A"/>
    <w:rsid w:val="00BB0D93"/>
    <w:rsid w:val="00C71B68"/>
    <w:rsid w:val="00C737F7"/>
    <w:rsid w:val="00CA54CF"/>
    <w:rsid w:val="00DA0C6F"/>
    <w:rsid w:val="00E438A1"/>
    <w:rsid w:val="00EA5492"/>
    <w:rsid w:val="00EC770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2FA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4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4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2FA"/>
    <w:pPr>
      <w:keepNext/>
      <w:keepLines/>
      <w:spacing w:before="200" w:beforeAutospacing="0" w:after="0" w:afterAutospacing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842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2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E4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3989-5441-40F7-ABAD-36BB56D6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14</cp:revision>
  <dcterms:created xsi:type="dcterms:W3CDTF">2011-11-02T04:15:00Z</dcterms:created>
  <dcterms:modified xsi:type="dcterms:W3CDTF">2022-04-19T08:41:00Z</dcterms:modified>
</cp:coreProperties>
</file>