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41"/>
        <w:gridCol w:w="1241"/>
        <w:gridCol w:w="1241"/>
        <w:gridCol w:w="2172"/>
        <w:gridCol w:w="2408"/>
        <w:gridCol w:w="3612"/>
        <w:gridCol w:w="289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0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61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подключиться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"https://www.youtube.com/watch?v=Ut_EiR3eT4o"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https://www.youtube.com/watch?v=Ut_EiR3eT4o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89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ОРКСЭ Воронцова Л.В.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Священные сооружения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может подключиться смотрим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"https://www.youtube.com/watch?v=VGthPmFdw1U"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https://www.youtube.com/watch?v=VGthPmFdw1U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выписать названия сооружений мировых религий и выучить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Россия в 20-30гг.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может подключиться смотрим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"https://youtu.be/Q_tTZvXHNfg"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https://youtu.be/Q_tTZvXHNfg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 136-140 учебник, ответить на вопоосы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 задач на встречное движение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рне может подключиться смотрим https://youtu.be/nJ6sW3FZyNo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стр. 16, задания 62,64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Правописание окончаний имен прилагательных м. и ср. рода в родительном падеже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смотрим https://youtu.be/gXyd9EZO8Hw Русский язык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стр. 18, упр. 37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2023-01-10T11:06:28Z</dcterms:modified>
</cp:coreProperties>
</file>